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1F3E" w14:textId="0EC00D09" w:rsidR="00FC5980" w:rsidRPr="00316129" w:rsidRDefault="00FC5980" w:rsidP="00FC5980">
      <w:pPr>
        <w:rPr>
          <w:color w:val="C45911" w:themeColor="accent2" w:themeShade="BF"/>
        </w:rPr>
      </w:pPr>
      <w:r>
        <w:rPr>
          <w:b/>
          <w:bCs/>
          <w:sz w:val="28"/>
          <w:szCs w:val="28"/>
        </w:rPr>
        <w:t>Ondernemingscontract</w:t>
      </w:r>
      <w:r w:rsidRPr="00F912D3">
        <w:rPr>
          <w:b/>
          <w:bCs/>
          <w:sz w:val="28"/>
          <w:szCs w:val="28"/>
        </w:rPr>
        <w:t xml:space="preserve"> </w:t>
      </w:r>
      <w:r>
        <w:rPr>
          <w:b/>
          <w:bCs/>
          <w:sz w:val="28"/>
          <w:szCs w:val="28"/>
        </w:rPr>
        <w:t xml:space="preserve">van Woonzorgcentrum </w:t>
      </w:r>
      <w:r w:rsidRPr="00316129">
        <w:rPr>
          <w:b/>
          <w:bCs/>
          <w:color w:val="C45911" w:themeColor="accent2" w:themeShade="BF"/>
          <w:sz w:val="28"/>
          <w:szCs w:val="28"/>
        </w:rPr>
        <w:t>…………</w:t>
      </w:r>
      <w:r w:rsidRPr="00316129">
        <w:rPr>
          <w:color w:val="C45911" w:themeColor="accent2" w:themeShade="BF"/>
        </w:rPr>
        <w:t>…………………………………………………………………………….., huisarts</w:t>
      </w:r>
    </w:p>
    <w:p w14:paraId="57CC608B" w14:textId="77777777" w:rsidR="00FC5980" w:rsidRPr="00316129" w:rsidRDefault="00FC5980" w:rsidP="00FC5980">
      <w:pPr>
        <w:rPr>
          <w:color w:val="C45911" w:themeColor="accent2" w:themeShade="BF"/>
        </w:rPr>
      </w:pPr>
      <w:r w:rsidRPr="00316129">
        <w:rPr>
          <w:color w:val="C45911" w:themeColor="accent2" w:themeShade="BF"/>
        </w:rPr>
        <w:t>wonende te ………………………………………………………………………………………………………………………………………..</w:t>
      </w:r>
    </w:p>
    <w:p w14:paraId="56A09839" w14:textId="77777777" w:rsidR="00FC5980" w:rsidRPr="00316129" w:rsidRDefault="00FC5980" w:rsidP="00FC5980">
      <w:pPr>
        <w:rPr>
          <w:color w:val="C45911" w:themeColor="accent2" w:themeShade="BF"/>
        </w:rPr>
      </w:pPr>
      <w:r w:rsidRPr="00316129">
        <w:rPr>
          <w:color w:val="C45911" w:themeColor="accent2" w:themeShade="BF"/>
        </w:rPr>
        <w:t>met RIZIV-nummer ……………………………………………………………………………………………………………………………..</w:t>
      </w:r>
    </w:p>
    <w:p w14:paraId="69FCB9D7" w14:textId="77777777" w:rsidR="00FC5980" w:rsidRDefault="00FC5980" w:rsidP="00FC5980">
      <w:pPr>
        <w:rPr>
          <w:color w:val="C45911" w:themeColor="accent2" w:themeShade="BF"/>
        </w:rPr>
      </w:pPr>
      <w:r w:rsidRPr="00316129">
        <w:rPr>
          <w:color w:val="C45911" w:themeColor="accent2" w:themeShade="BF"/>
        </w:rPr>
        <w:t>hierna genoemd “de CRA”</w:t>
      </w:r>
    </w:p>
    <w:p w14:paraId="1F7265F8" w14:textId="77777777" w:rsidR="00FC5980" w:rsidRDefault="00FC5980" w:rsidP="00FC5980"/>
    <w:p w14:paraId="02BE8E0D" w14:textId="77777777" w:rsidR="00FC5980" w:rsidRPr="0070264F" w:rsidRDefault="00FC5980" w:rsidP="00FC5980">
      <w:pPr>
        <w:rPr>
          <w:color w:val="C45911" w:themeColor="accent2" w:themeShade="BF"/>
        </w:rPr>
      </w:pPr>
      <w:r>
        <w:t xml:space="preserve">wordt het volgende overeengekomen: </w:t>
      </w:r>
    </w:p>
    <w:p w14:paraId="635C299D" w14:textId="77777777" w:rsidR="00FC5980" w:rsidRPr="00F912D3" w:rsidRDefault="00FC5980" w:rsidP="00FC5980">
      <w:pPr>
        <w:rPr>
          <w:b/>
          <w:bCs/>
        </w:rPr>
      </w:pPr>
      <w:r w:rsidRPr="00F912D3">
        <w:rPr>
          <w:b/>
          <w:bCs/>
        </w:rPr>
        <w:t>Artikel 1</w:t>
      </w:r>
    </w:p>
    <w:p w14:paraId="61B56246" w14:textId="77777777" w:rsidR="00FC5980" w:rsidRDefault="00FC5980" w:rsidP="00FC5980">
      <w:r>
        <w:t>Het WZC  stelt de CRA aan als “coördinerende en raadgevende arts” met de taken omschreven in de toepasselijke regelgeving, zijnde op het ogenblik van het afsluiten van deze overeenkomst het besluit van de Vlaamse Regering van 28 juni 2019 betreffende de programmatie, de erkenningsvoorwaarden en de subsidieregeling voor woonzorgvoorzieningen en verenigingen voor mantelzorgers en gebruikers.</w:t>
      </w:r>
    </w:p>
    <w:p w14:paraId="0687FA0A" w14:textId="77777777" w:rsidR="00FC5980" w:rsidRPr="0070264F" w:rsidRDefault="00FC5980" w:rsidP="00FC5980">
      <w:pPr>
        <w:rPr>
          <w:color w:val="C45911" w:themeColor="accent2" w:themeShade="BF"/>
        </w:rPr>
      </w:pPr>
      <w:r w:rsidRPr="0070264F">
        <w:rPr>
          <w:color w:val="C45911" w:themeColor="accent2" w:themeShade="BF"/>
        </w:rPr>
        <w:t xml:space="preserve">De overeenkomst vangt aan op ……………………………… .   </w:t>
      </w:r>
    </w:p>
    <w:p w14:paraId="2990069C" w14:textId="77777777" w:rsidR="00FC5980" w:rsidRPr="00F912D3" w:rsidRDefault="00FC5980" w:rsidP="00FC5980">
      <w:pPr>
        <w:rPr>
          <w:b/>
          <w:bCs/>
        </w:rPr>
      </w:pPr>
      <w:r w:rsidRPr="00F912D3">
        <w:rPr>
          <w:b/>
          <w:bCs/>
        </w:rPr>
        <w:t>Artikel 2</w:t>
      </w:r>
    </w:p>
    <w:p w14:paraId="155A5243" w14:textId="77777777" w:rsidR="00FC5980" w:rsidRPr="0070264F" w:rsidRDefault="00FC5980" w:rsidP="00FC5980">
      <w:r>
        <w:t xml:space="preserve">Beide partijen erkennen uitdrukkelijk het </w:t>
      </w:r>
      <w:proofErr w:type="spellStart"/>
      <w:r>
        <w:t>sui</w:t>
      </w:r>
      <w:proofErr w:type="spellEnd"/>
      <w:r>
        <w:t xml:space="preserve"> </w:t>
      </w:r>
      <w:proofErr w:type="spellStart"/>
      <w:r>
        <w:t>generis</w:t>
      </w:r>
      <w:proofErr w:type="spellEnd"/>
      <w:r>
        <w:t xml:space="preserve">-karakter van dit ondernemingscontract, dat is aangegaan buiten elke band van ondergeschiktheid en waarbij de CRA het statuut van zelfstandige heeft. De CRA komt zelf de verplichtingen na eigen aan het statuut van zelfstandige (sociaal, fiscaal, etc.). </w:t>
      </w:r>
    </w:p>
    <w:p w14:paraId="451281AC" w14:textId="77777777" w:rsidR="00FC5980" w:rsidRPr="00F2601A" w:rsidRDefault="00FC5980" w:rsidP="00FC5980">
      <w:pPr>
        <w:rPr>
          <w:b/>
          <w:bCs/>
        </w:rPr>
      </w:pPr>
      <w:r w:rsidRPr="00F2601A">
        <w:rPr>
          <w:b/>
          <w:bCs/>
        </w:rPr>
        <w:t>Artikel 3</w:t>
      </w:r>
    </w:p>
    <w:p w14:paraId="72057933" w14:textId="77777777" w:rsidR="00FC5980" w:rsidRDefault="00FC5980" w:rsidP="00FC5980">
      <w:r>
        <w:t>De CRA zal in optimale samenwerking met de directie van het WZC instaan voor de coördinatie en de goede organisatie van de zorgen in het WZC. Daartoe zullen minstens de volgende taken worden opgenomen, zoals beschreven in de taakomschrijving die bij het sluiten van het o</w:t>
      </w:r>
      <w:r w:rsidRPr="004A428E">
        <w:t>ndernemingscontract</w:t>
      </w:r>
      <w:r>
        <w:t xml:space="preserve"> voorzien is door de toepasselijke regelgeving:</w:t>
      </w:r>
    </w:p>
    <w:p w14:paraId="570791F0" w14:textId="77777777" w:rsidR="00FC5980" w:rsidRDefault="00FC5980" w:rsidP="00FC5980">
      <w:r>
        <w:t xml:space="preserve">1° in relatie met het medische korps: </w:t>
      </w:r>
    </w:p>
    <w:p w14:paraId="58767A21" w14:textId="77777777" w:rsidR="00FC5980" w:rsidRDefault="00FC5980" w:rsidP="00FC5980">
      <w:pPr>
        <w:ind w:left="708"/>
      </w:pPr>
      <w:r>
        <w:t>- Het organiseren, op geregelde tijdstippen, van zowel individuele als collectieve overlegvergaderingen met de behandelende artsen;</w:t>
      </w:r>
    </w:p>
    <w:p w14:paraId="54382AF0" w14:textId="77777777" w:rsidR="00FC5980" w:rsidRDefault="00FC5980" w:rsidP="00FC5980">
      <w:pPr>
        <w:ind w:left="708"/>
      </w:pPr>
      <w:r>
        <w:t>- De coördinatie en organisatie van de continuïteit van de medische zorg;</w:t>
      </w:r>
    </w:p>
    <w:p w14:paraId="09D4290F" w14:textId="77777777" w:rsidR="00FC5980" w:rsidRDefault="00FC5980" w:rsidP="00FC5980">
      <w:pPr>
        <w:ind w:left="708"/>
      </w:pPr>
      <w:r>
        <w:t>- De coördinatie van de samenstelling en het bijhouden van de medische dossiers van de behandelende artsen;</w:t>
      </w:r>
    </w:p>
    <w:p w14:paraId="2B37DF32" w14:textId="77777777" w:rsidR="00FC5980" w:rsidRDefault="00FC5980" w:rsidP="00FC5980">
      <w:pPr>
        <w:ind w:left="708"/>
      </w:pPr>
      <w:r>
        <w:t>- De coördinatie van medische activiteiten bij ziektetoestanden die gevaar opleveren voor de bewoners of het personeel;</w:t>
      </w:r>
    </w:p>
    <w:p w14:paraId="197A443A" w14:textId="77777777" w:rsidR="00FC5980" w:rsidRDefault="00FC5980" w:rsidP="00FC5980">
      <w:pPr>
        <w:ind w:left="708"/>
      </w:pPr>
      <w:r>
        <w:t xml:space="preserve">- </w:t>
      </w:r>
      <w:r w:rsidRPr="00D862F7">
        <w:t xml:space="preserve">Het farmaceutische zorgbeleid coördineren in overleg met de behandelende artsen en de apotheker die de toelevering van de geneesmiddelen doet aan de bewoners in het woonzorgcentrum, of, in voorkomend geval de coördinerende en adviserende apotheker, wat voor de geneesmiddelen ten minste het opstellen en het gebruik van een geneesmiddelenformularium omvat, alsook het oordeelkundige gebruik van specifieke </w:t>
      </w:r>
      <w:r w:rsidRPr="00D862F7">
        <w:lastRenderedPageBreak/>
        <w:t>geneesmiddelenklassen en de alternatieve niet-farmacologische aanpak bij de bewoners van het woonzorgcentrum.</w:t>
      </w:r>
    </w:p>
    <w:p w14:paraId="02982E5B" w14:textId="77777777" w:rsidR="00FC5980" w:rsidRDefault="00FC5980" w:rsidP="00FC5980">
      <w:r>
        <w:t xml:space="preserve">2° Meewerken aan de organisatie van activiteiten inzake bijscholing en vorming in het domein van de gezondheidszorg voor het personeel van het WZC en voor de betrokken behandelende artsen. </w:t>
      </w:r>
    </w:p>
    <w:p w14:paraId="2336FEE6" w14:textId="77777777" w:rsidR="00FC5980" w:rsidRPr="006540E2" w:rsidRDefault="00FC5980" w:rsidP="00FC5980">
      <w:pPr>
        <w:ind w:left="708"/>
        <w:rPr>
          <w:i/>
          <w:iCs/>
          <w:color w:val="C45911" w:themeColor="accent2" w:themeShade="BF"/>
        </w:rPr>
      </w:pPr>
      <w:r>
        <w:t xml:space="preserve">- </w:t>
      </w:r>
      <w:r w:rsidRPr="006540E2">
        <w:rPr>
          <w:b/>
          <w:bCs/>
          <w:i/>
          <w:iCs/>
          <w:color w:val="C45911" w:themeColor="accent2" w:themeShade="BF"/>
        </w:rPr>
        <w:t>Indien van toepassing</w:t>
      </w:r>
      <w:r w:rsidRPr="006540E2">
        <w:rPr>
          <w:i/>
          <w:iCs/>
          <w:color w:val="C45911" w:themeColor="accent2" w:themeShade="BF"/>
        </w:rPr>
        <w:t>: aanvullingen zijn mogelijk ….</w:t>
      </w:r>
      <w:r>
        <w:rPr>
          <w:i/>
          <w:iCs/>
          <w:color w:val="C45911" w:themeColor="accent2" w:themeShade="BF"/>
        </w:rPr>
        <w:t xml:space="preserve"> (Medewerking verlenen bij </w:t>
      </w:r>
      <w:proofErr w:type="spellStart"/>
      <w:r>
        <w:rPr>
          <w:i/>
          <w:iCs/>
          <w:color w:val="C45911" w:themeColor="accent2" w:themeShade="BF"/>
        </w:rPr>
        <w:t>zorggerelateerde</w:t>
      </w:r>
      <w:proofErr w:type="spellEnd"/>
      <w:r>
        <w:rPr>
          <w:i/>
          <w:iCs/>
          <w:color w:val="C45911" w:themeColor="accent2" w:themeShade="BF"/>
        </w:rPr>
        <w:t xml:space="preserve"> inspectiebezoeken) </w:t>
      </w:r>
    </w:p>
    <w:p w14:paraId="0FDD8CFC" w14:textId="77777777" w:rsidR="00FC5980" w:rsidRDefault="00FC5980" w:rsidP="00FC5980">
      <w:r>
        <w:t xml:space="preserve">Deze opdrachten vereisen de regelmatige fysieke aanwezigheid van de CRA in het WZC volgens een uurrooster dat de CRA  zelf vastlegt. De prestaties van de CRA bedragen gemiddeld 2u20’ per week per 30 aanwezige bewoners in het woonzorgcentrum. </w:t>
      </w:r>
    </w:p>
    <w:p w14:paraId="41765858" w14:textId="77777777" w:rsidR="00FC5980" w:rsidRDefault="00FC5980" w:rsidP="00FC5980">
      <w:r>
        <w:t>De CRA neemt tevens actieve stappen voor de naleving van het algemeen reglement van de medische activiteit.</w:t>
      </w:r>
    </w:p>
    <w:p w14:paraId="7427F5AB" w14:textId="77777777" w:rsidR="00FC5980" w:rsidRPr="00D862F7" w:rsidRDefault="00FC5980" w:rsidP="00FC5980">
      <w:r>
        <w:t xml:space="preserve">De CRA verbindt zich ertoe de toepasselijke regelgeving na te leven, met inbegrip van de mogelijke </w:t>
      </w:r>
      <w:r w:rsidRPr="00D862F7">
        <w:t xml:space="preserve">wijzigingen die door de bevoegde overheid in de toekomst zouden doorgevoerd worden. </w:t>
      </w:r>
    </w:p>
    <w:p w14:paraId="3C0888D3" w14:textId="77777777" w:rsidR="00FC5980" w:rsidRPr="0070264F" w:rsidRDefault="00FC5980" w:rsidP="00FC5980">
      <w:r w:rsidRPr="00D862F7">
        <w:t>De CRA is gehouden te handelen overeenkomstig de regels van medische deontologie.</w:t>
      </w:r>
      <w:r>
        <w:t xml:space="preserve"> </w:t>
      </w:r>
    </w:p>
    <w:p w14:paraId="2E75C91D" w14:textId="77777777" w:rsidR="00FC5980" w:rsidRPr="00F2601A" w:rsidRDefault="00FC5980" w:rsidP="00FC5980">
      <w:pPr>
        <w:rPr>
          <w:b/>
          <w:bCs/>
        </w:rPr>
      </w:pPr>
      <w:r w:rsidRPr="00F2601A">
        <w:rPr>
          <w:b/>
          <w:bCs/>
        </w:rPr>
        <w:t>Artikel 4</w:t>
      </w:r>
    </w:p>
    <w:p w14:paraId="77B13BCB" w14:textId="77777777" w:rsidR="00FC5980" w:rsidRDefault="00FC5980" w:rsidP="00FC5980">
      <w:r>
        <w:t>De CRA neemt de nodige initiatieven om in overleg met het directieteam een coherent medisch beleid</w:t>
      </w:r>
      <w:r w:rsidRPr="00B374A2">
        <w:t xml:space="preserve"> </w:t>
      </w:r>
      <w:r>
        <w:t xml:space="preserve">uit te werken. Het WZC  zal de professionele autonomie van de CRA op medisch gebied eerbiedigen. </w:t>
      </w:r>
    </w:p>
    <w:p w14:paraId="654FC7EA" w14:textId="77777777" w:rsidR="00FC5980" w:rsidRPr="00316129" w:rsidRDefault="00FC5980" w:rsidP="00FC5980">
      <w:r>
        <w:t xml:space="preserve">Het WZC kan te allen tijde suggesties voor de optimalisering van het zorgbeleid formuleren en hierover in overleg treden met de CRA. </w:t>
      </w:r>
    </w:p>
    <w:p w14:paraId="40B54EE0" w14:textId="77777777" w:rsidR="00FC5980" w:rsidRPr="00F2601A" w:rsidRDefault="00FC5980" w:rsidP="00FC5980">
      <w:pPr>
        <w:rPr>
          <w:b/>
          <w:bCs/>
        </w:rPr>
      </w:pPr>
      <w:r w:rsidRPr="00F2601A">
        <w:rPr>
          <w:b/>
          <w:bCs/>
        </w:rPr>
        <w:t>Artikel 5</w:t>
      </w:r>
    </w:p>
    <w:p w14:paraId="069FAC50" w14:textId="77777777" w:rsidR="00FC5980" w:rsidRPr="00316129" w:rsidRDefault="00FC5980" w:rsidP="00FC5980">
      <w:r>
        <w:t>De CRA erkent dat hij/zij voldoet of zal voldoen aan de voor de functie van CRA wettelijk vereiste kwalificaties en bijscholing, uiterlijk binnen de 4 jaar na zijn/haar aanstelling. Om zijn/haar kwalificatie te behouden zal de CRA zich jaarlijks bijscholen conform de vigerende wetgeving. Het WZC  kan aan de CRA vragen om hiervan de nodige bewijzen en attesten over te maken.</w:t>
      </w:r>
    </w:p>
    <w:p w14:paraId="36A230BC" w14:textId="77777777" w:rsidR="00FC5980" w:rsidRPr="00F2601A" w:rsidRDefault="00FC5980" w:rsidP="00FC5980">
      <w:pPr>
        <w:rPr>
          <w:b/>
          <w:bCs/>
        </w:rPr>
      </w:pPr>
      <w:r w:rsidRPr="00F2601A">
        <w:rPr>
          <w:b/>
          <w:bCs/>
        </w:rPr>
        <w:t>Artikel 6</w:t>
      </w:r>
    </w:p>
    <w:p w14:paraId="07347491" w14:textId="77777777" w:rsidR="00FC5980" w:rsidRDefault="00FC5980" w:rsidP="00FC5980">
      <w:pPr>
        <w:rPr>
          <w:color w:val="C45911" w:themeColor="accent2" w:themeShade="BF"/>
        </w:rPr>
      </w:pPr>
      <w:r>
        <w:t>De CRA sluit een verzekering burgerlijke aansprakelijkheid af waarin zijn/haar activiteiten als coördinerend arts in het WZC  voldoende worden gedekt. Het WZC</w:t>
      </w:r>
      <w:r w:rsidRPr="00557BB8">
        <w:t xml:space="preserve">  kan aan de CRA vragen om hiervan het bewijs te leveren. </w:t>
      </w:r>
    </w:p>
    <w:p w14:paraId="0268911B" w14:textId="77777777" w:rsidR="00FC5980" w:rsidRPr="003905B5" w:rsidRDefault="00FC5980" w:rsidP="00FC5980">
      <w:pPr>
        <w:rPr>
          <w:i/>
          <w:iCs/>
          <w:color w:val="C45911" w:themeColor="accent2" w:themeShade="BF"/>
        </w:rPr>
      </w:pPr>
      <w:r w:rsidRPr="006540E2">
        <w:rPr>
          <w:i/>
          <w:iCs/>
          <w:color w:val="C45911" w:themeColor="accent2" w:themeShade="BF"/>
        </w:rPr>
        <w:t>(</w:t>
      </w:r>
      <w:r w:rsidRPr="006540E2">
        <w:rPr>
          <w:b/>
          <w:bCs/>
          <w:i/>
          <w:iCs/>
          <w:color w:val="C45911" w:themeColor="accent2" w:themeShade="BF"/>
        </w:rPr>
        <w:t>Indien van toepassing</w:t>
      </w:r>
      <w:r w:rsidRPr="006540E2">
        <w:rPr>
          <w:i/>
          <w:iCs/>
          <w:color w:val="C45911" w:themeColor="accent2" w:themeShade="BF"/>
        </w:rPr>
        <w:t xml:space="preserve">: De verzekering burgerlijke aansprakelijkheid van </w:t>
      </w:r>
      <w:r>
        <w:rPr>
          <w:i/>
          <w:iCs/>
          <w:color w:val="C45911" w:themeColor="accent2" w:themeShade="BF"/>
        </w:rPr>
        <w:t>het WZC</w:t>
      </w:r>
      <w:r w:rsidRPr="006540E2">
        <w:rPr>
          <w:i/>
          <w:iCs/>
          <w:color w:val="C45911" w:themeColor="accent2" w:themeShade="BF"/>
        </w:rPr>
        <w:t xml:space="preserve"> dekt</w:t>
      </w:r>
      <w:r>
        <w:rPr>
          <w:i/>
          <w:iCs/>
          <w:color w:val="C45911" w:themeColor="accent2" w:themeShade="BF"/>
        </w:rPr>
        <w:t xml:space="preserve"> de</w:t>
      </w:r>
      <w:r w:rsidRPr="006540E2">
        <w:rPr>
          <w:i/>
          <w:iCs/>
          <w:color w:val="C45911" w:themeColor="accent2" w:themeShade="BF"/>
        </w:rPr>
        <w:t xml:space="preserve"> burgerlijke aansprakelijkheid van de CRA voortvloeiend uit zijn opdracht als CRA – deze dekking geldt niet voor eventuele patiënten behandeld in </w:t>
      </w:r>
      <w:r>
        <w:rPr>
          <w:i/>
          <w:iCs/>
          <w:color w:val="C45911" w:themeColor="accent2" w:themeShade="BF"/>
        </w:rPr>
        <w:t>het WZC</w:t>
      </w:r>
      <w:r w:rsidRPr="006540E2">
        <w:rPr>
          <w:i/>
          <w:iCs/>
          <w:color w:val="C45911" w:themeColor="accent2" w:themeShade="BF"/>
        </w:rPr>
        <w:t xml:space="preserve"> door toedoen van de CRA)</w:t>
      </w:r>
      <w:r>
        <w:rPr>
          <w:i/>
          <w:iCs/>
          <w:color w:val="C45911" w:themeColor="accent2" w:themeShade="BF"/>
        </w:rPr>
        <w:t xml:space="preserve">. </w:t>
      </w:r>
      <w:r w:rsidRPr="006540E2">
        <w:rPr>
          <w:i/>
          <w:iCs/>
          <w:color w:val="C45911" w:themeColor="accent2" w:themeShade="BF"/>
        </w:rPr>
        <w:t xml:space="preserve"> </w:t>
      </w:r>
    </w:p>
    <w:p w14:paraId="009375A8" w14:textId="77777777" w:rsidR="00FC5980" w:rsidRDefault="00FC5980" w:rsidP="00FC5980">
      <w:pPr>
        <w:rPr>
          <w:b/>
          <w:bCs/>
        </w:rPr>
      </w:pPr>
    </w:p>
    <w:p w14:paraId="34154E07" w14:textId="77777777" w:rsidR="00FC5980" w:rsidRPr="00CB4438" w:rsidRDefault="00FC5980" w:rsidP="00FC5980">
      <w:pPr>
        <w:rPr>
          <w:i/>
          <w:iCs/>
        </w:rPr>
      </w:pPr>
      <w:r w:rsidRPr="00D62556">
        <w:rPr>
          <w:b/>
          <w:bCs/>
        </w:rPr>
        <w:t>Artikel 7</w:t>
      </w:r>
    </w:p>
    <w:p w14:paraId="305F4286" w14:textId="77777777" w:rsidR="00FC5980" w:rsidRDefault="00FC5980" w:rsidP="00FC5980">
      <w:r>
        <w:t xml:space="preserve">De CRA mag, gelet op de specificiteit van zijn/haar functie, geen taken als coördinerend en </w:t>
      </w:r>
      <w:r w:rsidRPr="00E1610A">
        <w:t>raadgevend arts delegeren aan een collega, tenzij het</w:t>
      </w:r>
      <w:r>
        <w:t xml:space="preserve"> om een tijdelijke vervanging van korte duur gaat (minder dan 1 maand). De delegatie gebeurt dan in overleg met het WZC aan een arts die over  de vereiste kwalificatie beschikt. </w:t>
      </w:r>
    </w:p>
    <w:p w14:paraId="5187C929" w14:textId="77777777" w:rsidR="00FC5980" w:rsidRDefault="00FC5980" w:rsidP="00FC5980">
      <w:r>
        <w:lastRenderedPageBreak/>
        <w:t>Indien de CRA minstens 3 maand aaneensluitend zijn/haar activiteiten niet kan uitvoeren, kan het WZC een  vervanger of nieuwe CRA aanstellen, indien mogelijk in overleg met de CRA.  Het WZC informeert hierover de lokale huisartsenkring en de andere organisaties bevoegd voor de organisatie van de huisartsgeneeskunde.</w:t>
      </w:r>
    </w:p>
    <w:p w14:paraId="613D0E1C" w14:textId="77777777" w:rsidR="00FC5980" w:rsidRDefault="00FC5980" w:rsidP="00FC5980"/>
    <w:p w14:paraId="7E533304" w14:textId="77777777" w:rsidR="00FC5980" w:rsidRPr="002D1734" w:rsidRDefault="00FC5980" w:rsidP="00FC5980">
      <w:pPr>
        <w:pBdr>
          <w:top w:val="single" w:sz="4" w:space="1" w:color="auto"/>
          <w:left w:val="single" w:sz="4" w:space="4" w:color="auto"/>
          <w:bottom w:val="single" w:sz="4" w:space="1" w:color="auto"/>
          <w:right w:val="single" w:sz="4" w:space="4" w:color="auto"/>
        </w:pBdr>
        <w:rPr>
          <w:i/>
          <w:iCs/>
          <w:color w:val="C45911" w:themeColor="accent2" w:themeShade="BF"/>
        </w:rPr>
      </w:pPr>
      <w:r w:rsidRPr="002D1734">
        <w:rPr>
          <w:i/>
          <w:iCs/>
          <w:color w:val="C45911" w:themeColor="accent2" w:themeShade="BF"/>
        </w:rPr>
        <w:t xml:space="preserve">Inlassen indien van toepassing: </w:t>
      </w:r>
    </w:p>
    <w:p w14:paraId="58D92167" w14:textId="77777777" w:rsidR="00FC5980" w:rsidRPr="002D1734" w:rsidRDefault="00FC5980" w:rsidP="00FC59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C45911" w:themeColor="accent2" w:themeShade="BF"/>
        </w:rPr>
      </w:pPr>
      <w:r w:rsidRPr="002D1734">
        <w:rPr>
          <w:rFonts w:cstheme="minorHAnsi"/>
          <w:i/>
          <w:iCs/>
          <w:color w:val="C45911" w:themeColor="accent2" w:themeShade="BF"/>
        </w:rPr>
        <w:t>Eénzelfde arts kan in meerdere WZC actief zijn als CRA. Elk WZC moet voldoen aan de erkennings- en</w:t>
      </w:r>
    </w:p>
    <w:p w14:paraId="1CE35D7D" w14:textId="77777777" w:rsidR="00FC5980" w:rsidRPr="002D1734" w:rsidRDefault="00FC5980" w:rsidP="00FC59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C45911" w:themeColor="accent2" w:themeShade="BF"/>
        </w:rPr>
      </w:pPr>
      <w:r w:rsidRPr="002D1734">
        <w:rPr>
          <w:rFonts w:cstheme="minorHAnsi"/>
          <w:i/>
          <w:iCs/>
          <w:color w:val="C45911" w:themeColor="accent2" w:themeShade="BF"/>
        </w:rPr>
        <w:t>financieringsnormen die onder meer bepaalt dat de taken van de CRA op zijn minst</w:t>
      </w:r>
    </w:p>
    <w:p w14:paraId="59863B8E" w14:textId="77777777" w:rsidR="00FC5980" w:rsidRPr="002D1734" w:rsidRDefault="00FC5980" w:rsidP="00FC59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C45911" w:themeColor="accent2" w:themeShade="BF"/>
        </w:rPr>
      </w:pPr>
      <w:r w:rsidRPr="002D1734">
        <w:rPr>
          <w:rFonts w:cstheme="minorHAnsi"/>
          <w:i/>
          <w:iCs/>
          <w:color w:val="C45911" w:themeColor="accent2" w:themeShade="BF"/>
        </w:rPr>
        <w:t>gemiddeld 2u20’ per week en per 30 rechthebbenden bedragen.</w:t>
      </w:r>
    </w:p>
    <w:p w14:paraId="0DA7AACE" w14:textId="77777777" w:rsidR="00FC5980" w:rsidRPr="002D1734" w:rsidRDefault="00FC5980" w:rsidP="00FC59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C45911" w:themeColor="accent2" w:themeShade="BF"/>
        </w:rPr>
      </w:pPr>
    </w:p>
    <w:p w14:paraId="745049BE" w14:textId="77777777" w:rsidR="00FC5980" w:rsidRDefault="00FC5980" w:rsidP="00FC59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C45911" w:themeColor="accent2" w:themeShade="BF"/>
        </w:rPr>
      </w:pPr>
      <w:r w:rsidRPr="002D1734">
        <w:rPr>
          <w:rFonts w:cstheme="minorHAnsi"/>
          <w:i/>
          <w:iCs/>
          <w:color w:val="C45911" w:themeColor="accent2" w:themeShade="BF"/>
        </w:rPr>
        <w:t xml:space="preserve">Omgekeerd kunnen in een WZC ook meerdere </w:t>
      </w:r>
      <w:proofErr w:type="spellStart"/>
      <w:r w:rsidRPr="002D1734">
        <w:rPr>
          <w:rFonts w:cstheme="minorHAnsi"/>
          <w:i/>
          <w:iCs/>
          <w:color w:val="C45911" w:themeColor="accent2" w:themeShade="BF"/>
        </w:rPr>
        <w:t>CRA’s</w:t>
      </w:r>
      <w:proofErr w:type="spellEnd"/>
      <w:r w:rsidRPr="002D1734">
        <w:rPr>
          <w:rFonts w:cstheme="minorHAnsi"/>
          <w:i/>
          <w:iCs/>
          <w:color w:val="C45911" w:themeColor="accent2" w:themeShade="BF"/>
        </w:rPr>
        <w:t xml:space="preserve"> actief zijn. Indien er meerdere </w:t>
      </w:r>
      <w:proofErr w:type="spellStart"/>
      <w:r w:rsidRPr="002D1734">
        <w:rPr>
          <w:rFonts w:cstheme="minorHAnsi"/>
          <w:i/>
          <w:iCs/>
          <w:color w:val="C45911" w:themeColor="accent2" w:themeShade="BF"/>
        </w:rPr>
        <w:t>CRA’s</w:t>
      </w:r>
      <w:proofErr w:type="spellEnd"/>
      <w:r w:rsidRPr="002D1734">
        <w:rPr>
          <w:rFonts w:cstheme="minorHAnsi"/>
          <w:i/>
          <w:iCs/>
          <w:color w:val="C45911" w:themeColor="accent2" w:themeShade="BF"/>
        </w:rPr>
        <w:t xml:space="preserve"> zijn voor één zorgvoorziening, voert elk van de </w:t>
      </w:r>
      <w:proofErr w:type="spellStart"/>
      <w:r w:rsidRPr="002D1734">
        <w:rPr>
          <w:rFonts w:cstheme="minorHAnsi"/>
          <w:i/>
          <w:iCs/>
          <w:color w:val="C45911" w:themeColor="accent2" w:themeShade="BF"/>
        </w:rPr>
        <w:t>CRA’s</w:t>
      </w:r>
      <w:proofErr w:type="spellEnd"/>
      <w:r w:rsidRPr="002D1734">
        <w:rPr>
          <w:rFonts w:cstheme="minorHAnsi"/>
          <w:i/>
          <w:iCs/>
          <w:color w:val="C45911" w:themeColor="accent2" w:themeShade="BF"/>
        </w:rPr>
        <w:t xml:space="preserve"> als volwaardig CRA de taken uit voor de bewoners of afdelingen die hem/haar zijn toegewezen. Desgevallend wordt voor het WZC één CRA aangeduid die zorgt voor een regelmatig overleg tussen de verschillende </w:t>
      </w:r>
      <w:proofErr w:type="spellStart"/>
      <w:r w:rsidRPr="002D1734">
        <w:rPr>
          <w:rFonts w:cstheme="minorHAnsi"/>
          <w:i/>
          <w:iCs/>
          <w:color w:val="C45911" w:themeColor="accent2" w:themeShade="BF"/>
        </w:rPr>
        <w:t>CRA’s</w:t>
      </w:r>
      <w:proofErr w:type="spellEnd"/>
      <w:r w:rsidRPr="002D1734">
        <w:rPr>
          <w:rFonts w:cstheme="minorHAnsi"/>
          <w:i/>
          <w:iCs/>
          <w:color w:val="C45911" w:themeColor="accent2" w:themeShade="BF"/>
        </w:rPr>
        <w:t>.</w:t>
      </w:r>
    </w:p>
    <w:p w14:paraId="472A04F8" w14:textId="77777777" w:rsidR="00FC5980" w:rsidRPr="002D1734" w:rsidRDefault="00FC5980" w:rsidP="00FC59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C45911" w:themeColor="accent2" w:themeShade="BF"/>
        </w:rPr>
      </w:pPr>
      <w:r w:rsidRPr="002D1734">
        <w:rPr>
          <w:rFonts w:cstheme="minorHAnsi"/>
          <w:i/>
          <w:iCs/>
          <w:color w:val="C45911" w:themeColor="accent2" w:themeShade="BF"/>
        </w:rPr>
        <w:t xml:space="preserve">In WZC ……………………………………………………………………………… (naam WZC invullen) is dit ……………………………………………………………………………………… (naam CRA invullen). </w:t>
      </w:r>
    </w:p>
    <w:p w14:paraId="320D7D2E" w14:textId="77777777" w:rsidR="00FC5980" w:rsidRPr="00E1610A" w:rsidRDefault="00FC5980" w:rsidP="00FC59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color w:val="C45911" w:themeColor="accent2" w:themeShade="BF"/>
        </w:rPr>
      </w:pPr>
    </w:p>
    <w:p w14:paraId="4A881471" w14:textId="77777777" w:rsidR="00FC5980" w:rsidRDefault="00FC5980" w:rsidP="00FC5980">
      <w:pPr>
        <w:rPr>
          <w:b/>
          <w:bCs/>
        </w:rPr>
      </w:pPr>
    </w:p>
    <w:p w14:paraId="61851EDF" w14:textId="77777777" w:rsidR="00FC5980" w:rsidRPr="00F2601A" w:rsidRDefault="00FC5980" w:rsidP="00FC5980">
      <w:pPr>
        <w:rPr>
          <w:b/>
          <w:bCs/>
        </w:rPr>
      </w:pPr>
      <w:r w:rsidRPr="00F2601A">
        <w:rPr>
          <w:b/>
          <w:bCs/>
        </w:rPr>
        <w:t>Artikel 8</w:t>
      </w:r>
    </w:p>
    <w:p w14:paraId="4AFE3976" w14:textId="77777777" w:rsidR="00FC5980" w:rsidRDefault="00FC5980" w:rsidP="00FC5980">
      <w:r>
        <w:t xml:space="preserve">De overeenkomst worden beëindigd: </w:t>
      </w:r>
    </w:p>
    <w:p w14:paraId="15EF45A7" w14:textId="77777777" w:rsidR="00FC5980" w:rsidRDefault="00FC5980" w:rsidP="00FC5980">
      <w:pPr>
        <w:spacing w:after="0"/>
      </w:pPr>
      <w:r>
        <w:t>a.</w:t>
      </w:r>
      <w:r>
        <w:tab/>
        <w:t>In onderling akkoord.</w:t>
      </w:r>
    </w:p>
    <w:p w14:paraId="174FCCB8" w14:textId="77777777" w:rsidR="00FC5980" w:rsidRDefault="00FC5980" w:rsidP="00FC5980">
      <w:pPr>
        <w:spacing w:after="0"/>
      </w:pPr>
      <w:r>
        <w:t>b.</w:t>
      </w:r>
      <w:r>
        <w:tab/>
        <w:t xml:space="preserve">Door opzegging.  </w:t>
      </w:r>
    </w:p>
    <w:p w14:paraId="6B6D7965" w14:textId="77777777" w:rsidR="00FC5980" w:rsidRDefault="00FC5980" w:rsidP="00FC5980">
      <w:pPr>
        <w:ind w:left="708"/>
      </w:pPr>
      <w:r>
        <w:t xml:space="preserve">De overeenkomst kan door elk der partijen worden opgezegd mits inachtneming van een </w:t>
      </w:r>
      <w:r w:rsidRPr="00122119">
        <w:t>opzeggingstermijn van 6 maand.  De</w:t>
      </w:r>
      <w:r>
        <w:t xml:space="preserve"> opzeggingstermijn gaat in de eerste dag volgend op de betekening van de opzegging via een aangetekend schrijven.  Tijdens de opzeggingsperiode blijven alle bepalingen van deze overeenkomst van toepassing. </w:t>
      </w:r>
    </w:p>
    <w:p w14:paraId="61D70DA0" w14:textId="77777777" w:rsidR="00FC5980" w:rsidRDefault="00FC5980" w:rsidP="00FC5980">
      <w:r>
        <w:t>c.</w:t>
      </w:r>
      <w:r>
        <w:tab/>
        <w:t>Van rechtswege en met onmiddellijke ingang:</w:t>
      </w:r>
    </w:p>
    <w:p w14:paraId="1232AFBC" w14:textId="77777777" w:rsidR="00FC5980" w:rsidRDefault="00FC5980" w:rsidP="00FC5980">
      <w:pPr>
        <w:pStyle w:val="Lijstalinea"/>
        <w:numPr>
          <w:ilvl w:val="0"/>
          <w:numId w:val="2"/>
        </w:numPr>
      </w:pPr>
      <w:r>
        <w:t>Door stopzetting van de activiteiten van het WZC .</w:t>
      </w:r>
    </w:p>
    <w:p w14:paraId="3D8C7565" w14:textId="77777777" w:rsidR="00FC5980" w:rsidRPr="00D862F7" w:rsidRDefault="00FC5980" w:rsidP="00FC5980">
      <w:pPr>
        <w:pStyle w:val="Lijstalinea"/>
        <w:numPr>
          <w:ilvl w:val="0"/>
          <w:numId w:val="2"/>
        </w:numPr>
      </w:pPr>
      <w:r>
        <w:t xml:space="preserve">Door arbeidsongeschiktheid van de CRA waardoor deze gedurende minstens 3 maanden </w:t>
      </w:r>
      <w:r w:rsidRPr="00D862F7">
        <w:t>aaneensluitend zijn activiteiten niet kan uitvoeren.</w:t>
      </w:r>
    </w:p>
    <w:p w14:paraId="50808313" w14:textId="77777777" w:rsidR="00FC5980" w:rsidRPr="00D862F7" w:rsidRDefault="00FC5980" w:rsidP="00FC5980">
      <w:pPr>
        <w:pStyle w:val="Lijstalinea"/>
        <w:numPr>
          <w:ilvl w:val="0"/>
          <w:numId w:val="2"/>
        </w:numPr>
      </w:pPr>
      <w:r w:rsidRPr="00D862F7">
        <w:t xml:space="preserve">Door tijdelijk of blijvend verlies door de CRA van de bevoegdheid om de geneeskunde uit te oefenen. Ingeval van tijdelijk verlies van de bevoegdheid om de geneeskunde uit te oefenen, zal de CRA hierover eerst gehoord worden door de directie/het bestuur van het WZC om  de billijkheid van het onmiddellijk beëindigen van de overeenkomst te beoordelen. </w:t>
      </w:r>
    </w:p>
    <w:p w14:paraId="6D315281" w14:textId="77777777" w:rsidR="00FC5980" w:rsidRDefault="00FC5980" w:rsidP="00FC5980">
      <w:pPr>
        <w:pStyle w:val="Lijstalinea"/>
        <w:numPr>
          <w:ilvl w:val="0"/>
          <w:numId w:val="2"/>
        </w:numPr>
      </w:pPr>
      <w:r>
        <w:t xml:space="preserve">Door het niet voldoen door de CRA aan de wettelijke kwalificaties, scholing of bijscholing.  </w:t>
      </w:r>
    </w:p>
    <w:p w14:paraId="18372091" w14:textId="77777777" w:rsidR="00FC5980" w:rsidRPr="00D4484E" w:rsidRDefault="00FC5980" w:rsidP="00FC5980">
      <w:pPr>
        <w:pStyle w:val="Lijstalinea"/>
        <w:numPr>
          <w:ilvl w:val="0"/>
          <w:numId w:val="2"/>
        </w:numPr>
      </w:pPr>
      <w:r>
        <w:t>Door een zware fout die de professionele samenwerking tussen beide partijen definitief onmogelijk maakt. Deze fout moet binnen de drie werkdagen nadat de betrokken partij er kennis van gekregen heeft, per aangetekend schrijven meegedeeld worden.</w:t>
      </w:r>
    </w:p>
    <w:p w14:paraId="15E91E57" w14:textId="77777777" w:rsidR="00FC5980" w:rsidRDefault="00FC5980" w:rsidP="00FC5980">
      <w:pPr>
        <w:rPr>
          <w:b/>
          <w:bCs/>
        </w:rPr>
      </w:pPr>
    </w:p>
    <w:p w14:paraId="2B3DA3E8" w14:textId="77777777" w:rsidR="00FC5980" w:rsidRPr="00A9721B" w:rsidRDefault="00FC5980" w:rsidP="00FC5980">
      <w:pPr>
        <w:rPr>
          <w:b/>
          <w:bCs/>
        </w:rPr>
      </w:pPr>
      <w:r w:rsidRPr="00A9721B">
        <w:rPr>
          <w:b/>
          <w:bCs/>
        </w:rPr>
        <w:t xml:space="preserve">Artikel 9 </w:t>
      </w:r>
      <w:r w:rsidRPr="00A9721B">
        <w:rPr>
          <w:b/>
          <w:bCs/>
        </w:rPr>
        <w:tab/>
      </w:r>
    </w:p>
    <w:p w14:paraId="76C5CCE0" w14:textId="77777777" w:rsidR="00FC5980" w:rsidRDefault="00FC5980" w:rsidP="00FC5980">
      <w:r>
        <w:lastRenderedPageBreak/>
        <w:t xml:space="preserve">De CRA zal voor de geleverde prestaties maandelijks </w:t>
      </w:r>
      <w:r w:rsidRPr="00D4484E">
        <w:rPr>
          <w:i/>
          <w:iCs/>
          <w:color w:val="C45911" w:themeColor="accent2" w:themeShade="BF"/>
        </w:rPr>
        <w:t>(desgevallend trimestrieel)</w:t>
      </w:r>
      <w:r w:rsidRPr="00333322">
        <w:rPr>
          <w:color w:val="C45911" w:themeColor="accent2" w:themeShade="BF"/>
        </w:rPr>
        <w:t xml:space="preserve"> </w:t>
      </w:r>
      <w:r w:rsidRPr="00522C7F">
        <w:t xml:space="preserve">voor het einde van de </w:t>
      </w:r>
      <w:r>
        <w:t>kalender</w:t>
      </w:r>
      <w:r w:rsidRPr="00522C7F">
        <w:t xml:space="preserve">maand volgend op de prestatiemaand </w:t>
      </w:r>
      <w:r w:rsidRPr="00D4484E">
        <w:rPr>
          <w:i/>
          <w:iCs/>
          <w:color w:val="C45911" w:themeColor="accent2" w:themeShade="BF"/>
        </w:rPr>
        <w:t>(desgevallend trimester)</w:t>
      </w:r>
      <w:r>
        <w:rPr>
          <w:color w:val="C45911" w:themeColor="accent2" w:themeShade="BF"/>
        </w:rPr>
        <w:t xml:space="preserve"> </w:t>
      </w:r>
      <w:r>
        <w:t xml:space="preserve">worden vergoed. Deze vergoeding gebeurt op basis van de tussenkomst die het WZC ontvangt via de </w:t>
      </w:r>
      <w:proofErr w:type="spellStart"/>
      <w:r>
        <w:t>basisitegemoetkoming</w:t>
      </w:r>
      <w:proofErr w:type="spellEnd"/>
      <w:r>
        <w:t xml:space="preserve">, zoals bepaald in de regelgeving van de Vlaamse Sociale Bescherming en omschreven in Artikel 500 van het </w:t>
      </w:r>
      <w:r w:rsidRPr="00CB4438">
        <w:t>Besluit van de Vlaamse Regering</w:t>
      </w:r>
      <w:r>
        <w:t xml:space="preserve"> van 30 november 2018</w:t>
      </w:r>
      <w:r w:rsidRPr="00CB4438">
        <w:t xml:space="preserve"> houdende de uitvoering van het decreet van 18 mei 2018 </w:t>
      </w:r>
      <w:r>
        <w:t>omtrent</w:t>
      </w:r>
      <w:r w:rsidRPr="00CB4438">
        <w:t xml:space="preserve"> de Vlaamse sociale bescherming</w:t>
      </w:r>
      <w:r>
        <w:t>.</w:t>
      </w:r>
      <w:r w:rsidRPr="00CB4438">
        <w:t xml:space="preserve"> </w:t>
      </w:r>
    </w:p>
    <w:p w14:paraId="1D51A629" w14:textId="77777777" w:rsidR="00FC5980" w:rsidRPr="00D4484E" w:rsidRDefault="00FC5980" w:rsidP="00FC5980">
      <w:r>
        <w:t xml:space="preserve">De vergoeding voor de CRA prestaties wordt per dag berekend conform de volgende formule:  </w:t>
      </w:r>
      <w:r w:rsidRPr="00333322">
        <w:rPr>
          <w:b/>
          <w:bCs/>
          <w:i/>
          <w:iCs/>
        </w:rPr>
        <w:t>0,6</w:t>
      </w:r>
      <w:r>
        <w:rPr>
          <w:b/>
          <w:bCs/>
          <w:i/>
          <w:iCs/>
        </w:rPr>
        <w:t>5</w:t>
      </w:r>
      <w:r w:rsidRPr="00333322">
        <w:rPr>
          <w:b/>
          <w:bCs/>
          <w:i/>
          <w:iCs/>
        </w:rPr>
        <w:t xml:space="preserve"> euro (</w:t>
      </w:r>
      <w:r>
        <w:rPr>
          <w:b/>
          <w:bCs/>
          <w:i/>
          <w:iCs/>
        </w:rPr>
        <w:t xml:space="preserve">huidige </w:t>
      </w:r>
      <w:r w:rsidRPr="00333322">
        <w:rPr>
          <w:b/>
          <w:bCs/>
          <w:i/>
          <w:iCs/>
        </w:rPr>
        <w:t>CRA-</w:t>
      </w:r>
      <w:r>
        <w:rPr>
          <w:b/>
          <w:bCs/>
          <w:i/>
          <w:iCs/>
        </w:rPr>
        <w:t>financiering - referentie</w:t>
      </w:r>
      <w:r w:rsidRPr="00333322">
        <w:rPr>
          <w:b/>
          <w:bCs/>
          <w:i/>
          <w:iCs/>
        </w:rPr>
        <w:t xml:space="preserve"> 1 </w:t>
      </w:r>
      <w:r>
        <w:rPr>
          <w:b/>
          <w:bCs/>
          <w:i/>
          <w:iCs/>
        </w:rPr>
        <w:t xml:space="preserve">september </w:t>
      </w:r>
      <w:r w:rsidRPr="00333322">
        <w:rPr>
          <w:b/>
          <w:bCs/>
          <w:i/>
          <w:iCs/>
        </w:rPr>
        <w:t>202</w:t>
      </w:r>
      <w:r>
        <w:rPr>
          <w:b/>
          <w:bCs/>
          <w:i/>
          <w:iCs/>
        </w:rPr>
        <w:t>1</w:t>
      </w:r>
      <w:r w:rsidRPr="00333322">
        <w:rPr>
          <w:b/>
          <w:bCs/>
          <w:i/>
          <w:iCs/>
        </w:rPr>
        <w:t xml:space="preserve">) x  totaal aantal bewoners verblijvend in het WZC. </w:t>
      </w:r>
    </w:p>
    <w:p w14:paraId="6060453D" w14:textId="77777777" w:rsidR="00FC5980" w:rsidRDefault="00FC5980" w:rsidP="00FC5980">
      <w:pPr>
        <w:spacing w:after="0"/>
      </w:pPr>
      <w:r>
        <w:t xml:space="preserve">Indien het aan het WZC  toegekende bedrag in de </w:t>
      </w:r>
      <w:r w:rsidRPr="00522C7F">
        <w:t xml:space="preserve">Vlaamse sociale bescherming </w:t>
      </w:r>
      <w:r>
        <w:t xml:space="preserve">voor de financiering van de CRA-functie wijzigt, zal het honorarium van de CRA overeenkomstig worden aangepast. </w:t>
      </w:r>
    </w:p>
    <w:p w14:paraId="684D26E6" w14:textId="77777777" w:rsidR="00FC5980" w:rsidRDefault="00FC5980" w:rsidP="00FC5980">
      <w:pPr>
        <w:spacing w:after="0"/>
        <w:rPr>
          <w:b/>
          <w:bCs/>
        </w:rPr>
      </w:pPr>
    </w:p>
    <w:p w14:paraId="72DA3B6A" w14:textId="77777777" w:rsidR="00FC5980" w:rsidRPr="00A9721B" w:rsidRDefault="00FC5980" w:rsidP="00FC5980">
      <w:pPr>
        <w:rPr>
          <w:b/>
          <w:bCs/>
        </w:rPr>
      </w:pPr>
      <w:r w:rsidRPr="00A9721B">
        <w:rPr>
          <w:b/>
          <w:bCs/>
        </w:rPr>
        <w:t xml:space="preserve">Artikel </w:t>
      </w:r>
      <w:r>
        <w:rPr>
          <w:b/>
          <w:bCs/>
        </w:rPr>
        <w:t>10</w:t>
      </w:r>
    </w:p>
    <w:p w14:paraId="392646FF" w14:textId="77777777" w:rsidR="00FC5980" w:rsidRDefault="00FC5980" w:rsidP="00FC5980">
      <w:r>
        <w:t>De CRA respecteert tijdens zijn opdracht volgende afspraken:</w:t>
      </w:r>
    </w:p>
    <w:p w14:paraId="0C7E7749" w14:textId="77777777" w:rsidR="00FC5980" w:rsidRDefault="00FC5980" w:rsidP="00FC5980">
      <w:pPr>
        <w:spacing w:after="120"/>
        <w:ind w:left="708" w:hanging="708"/>
      </w:pPr>
      <w:r>
        <w:t>-</w:t>
      </w:r>
      <w:r>
        <w:tab/>
        <w:t>Tijdens de prestatie-uren als CRA zal de arts geen patiënten behandelen. De CRA zal echter wel als huisarts de eigen patiënten behandelen buiten de uren gepresteerd als CRA.</w:t>
      </w:r>
    </w:p>
    <w:p w14:paraId="6AB2EC68" w14:textId="77777777" w:rsidR="00FC5980" w:rsidRDefault="00FC5980" w:rsidP="00FC5980">
      <w:pPr>
        <w:spacing w:after="120"/>
        <w:ind w:left="708" w:hanging="708"/>
      </w:pPr>
      <w:r>
        <w:t>-</w:t>
      </w:r>
      <w:r>
        <w:tab/>
        <w:t xml:space="preserve">De CRA zal zonder toestemming van een collega-arts diens rol van behandelende huisarts slechts overnemen indien de behandelende arts of diens vervanger niet bereikbaar zijn. Dit kan  enkel in spoedsituaties en in afwachting van de komst van de behandelende arts. </w:t>
      </w:r>
    </w:p>
    <w:p w14:paraId="6D243728" w14:textId="77777777" w:rsidR="00FC5980" w:rsidRDefault="00FC5980" w:rsidP="00FC5980">
      <w:pPr>
        <w:spacing w:after="120"/>
        <w:ind w:left="708" w:hanging="708"/>
      </w:pPr>
      <w:r>
        <w:t xml:space="preserve">- </w:t>
      </w:r>
      <w:r>
        <w:tab/>
        <w:t xml:space="preserve">De CRA zal geen attesten en voorschriften opstellen of wijzigen in de plaats van de behandelende artsen, tenzij contact opgenomen werd met de behandelende arts en deze hiermee instemt. </w:t>
      </w:r>
    </w:p>
    <w:p w14:paraId="2164F085" w14:textId="77777777" w:rsidR="00FC5980" w:rsidRDefault="00FC5980" w:rsidP="00FC5980">
      <w:pPr>
        <w:spacing w:after="120"/>
        <w:ind w:left="708" w:hanging="708"/>
      </w:pPr>
      <w:r>
        <w:t>-</w:t>
      </w:r>
      <w:r>
        <w:tab/>
        <w:t>De bewoner kiest vrij zijn behandelend arts. Deze keuze mag noch beïnvloed worden door de directie, noch door het verzorgend personeel of de CRA. Aan de bewoners die geen behandelend huisarts hebben, zal de directie een geactualiseerde lijst met beschikbare huisartsen uit de regio voorleggen, waaruit de bewoner vrij kan kiezen.</w:t>
      </w:r>
    </w:p>
    <w:p w14:paraId="386BE2E0" w14:textId="77777777" w:rsidR="00FC5980" w:rsidRDefault="00FC5980" w:rsidP="00FC5980">
      <w:pPr>
        <w:spacing w:after="120"/>
        <w:ind w:left="708" w:hanging="708"/>
      </w:pPr>
      <w:r>
        <w:t xml:space="preserve">- </w:t>
      </w:r>
      <w:r>
        <w:tab/>
        <w:t>De CRA kan indien dit voor de uitoefening van zijn functie noodzakelijk is, inzage nemen in de medische dossiers van de bewoners.  Deze consulatie van het dossier zal zichtbaar zijn. Indien dit aangewezen is voor de optimalisering van de behandeling of noodzakelijk voor een beter begrip, zal de CRA contact opnemen met de behandelende arts.</w:t>
      </w:r>
    </w:p>
    <w:p w14:paraId="1DEB8CEF" w14:textId="77777777" w:rsidR="00FC5980" w:rsidRPr="003905B5" w:rsidRDefault="00FC5980" w:rsidP="00FC5980">
      <w:pPr>
        <w:spacing w:after="120"/>
        <w:ind w:left="708" w:hanging="708"/>
      </w:pPr>
      <w:r>
        <w:t>-</w:t>
      </w:r>
      <w:r>
        <w:tab/>
        <w:t>De CRA zal geen geneeskundige verslagen opmaken voor aanvragen tot aanstelling van een bewindvoerder voor bewoners van het WZC.</w:t>
      </w:r>
    </w:p>
    <w:p w14:paraId="708A7354" w14:textId="77777777" w:rsidR="00FC5980" w:rsidRDefault="00FC5980" w:rsidP="00FC5980">
      <w:pPr>
        <w:spacing w:after="120"/>
        <w:ind w:left="708" w:hanging="708"/>
        <w:rPr>
          <w:b/>
          <w:bCs/>
        </w:rPr>
      </w:pPr>
    </w:p>
    <w:p w14:paraId="0A775ACD" w14:textId="77777777" w:rsidR="00FC5980" w:rsidRDefault="00FC5980" w:rsidP="00FC5980">
      <w:pPr>
        <w:spacing w:after="120"/>
        <w:ind w:left="708" w:hanging="708"/>
        <w:rPr>
          <w:b/>
          <w:bCs/>
        </w:rPr>
      </w:pPr>
      <w:r w:rsidRPr="004F552F">
        <w:rPr>
          <w:b/>
          <w:bCs/>
        </w:rPr>
        <w:t>Artikel 11</w:t>
      </w:r>
    </w:p>
    <w:p w14:paraId="1FE31290" w14:textId="77777777" w:rsidR="00FC5980" w:rsidRDefault="00FC5980" w:rsidP="00FC5980">
      <w:pPr>
        <w:spacing w:after="120"/>
      </w:pPr>
      <w:r w:rsidRPr="00D4484E">
        <w:t>Praktische afspraken rond het uitoefenen van de CRA-</w:t>
      </w:r>
      <w:r>
        <w:t>functie</w:t>
      </w:r>
      <w:r w:rsidRPr="00D4484E">
        <w:t xml:space="preserve"> worden vastgelegd in een afsprakennota aanvullend bij deze overeenkomst. </w:t>
      </w:r>
    </w:p>
    <w:p w14:paraId="654BD89B" w14:textId="5B8D69FC" w:rsidR="00FC5980" w:rsidRPr="00D4484E" w:rsidRDefault="00FC5980" w:rsidP="00FC5980">
      <w:pPr>
        <w:spacing w:after="120"/>
      </w:pPr>
      <w:r w:rsidRPr="00D4484E">
        <w:rPr>
          <w:i/>
          <w:iCs/>
          <w:color w:val="C45911" w:themeColor="accent2" w:themeShade="BF"/>
        </w:rPr>
        <w:t xml:space="preserve">(Desgevallend kan dit gaan over de </w:t>
      </w:r>
      <w:r w:rsidR="00DD6ECB">
        <w:rPr>
          <w:i/>
          <w:iCs/>
          <w:color w:val="C45911" w:themeColor="accent2" w:themeShade="BF"/>
        </w:rPr>
        <w:t xml:space="preserve">manier waarop de evaluatie gebeurt, de </w:t>
      </w:r>
      <w:r>
        <w:rPr>
          <w:i/>
          <w:iCs/>
          <w:color w:val="C45911" w:themeColor="accent2" w:themeShade="BF"/>
        </w:rPr>
        <w:t xml:space="preserve">vaste </w:t>
      </w:r>
      <w:r w:rsidRPr="00D4484E">
        <w:rPr>
          <w:i/>
          <w:iCs/>
          <w:color w:val="C45911" w:themeColor="accent2" w:themeShade="BF"/>
        </w:rPr>
        <w:t>overlegmomenten, bureauruimte die ter beschikking wordt gesteld, ICT-faciliteiten</w:t>
      </w:r>
      <w:r>
        <w:rPr>
          <w:i/>
          <w:iCs/>
          <w:color w:val="C45911" w:themeColor="accent2" w:themeShade="BF"/>
        </w:rPr>
        <w:t>, GDPR-richtlijnen  en toegang tot data</w:t>
      </w:r>
      <w:r w:rsidRPr="00D4484E">
        <w:rPr>
          <w:i/>
          <w:iCs/>
          <w:color w:val="C45911" w:themeColor="accent2" w:themeShade="BF"/>
        </w:rPr>
        <w:t>, bijscholingsfaciliteiten, parkeerfaciliteiten,</w:t>
      </w:r>
      <w:r>
        <w:rPr>
          <w:i/>
          <w:iCs/>
          <w:color w:val="C45911" w:themeColor="accent2" w:themeShade="BF"/>
        </w:rPr>
        <w:t xml:space="preserve"> toegangsfaciliteiten tot het gebouw,</w:t>
      </w:r>
      <w:r w:rsidRPr="00D4484E">
        <w:rPr>
          <w:i/>
          <w:iCs/>
          <w:color w:val="C45911" w:themeColor="accent2" w:themeShade="BF"/>
        </w:rPr>
        <w:t>…).</w:t>
      </w:r>
      <w:r w:rsidRPr="00D4484E">
        <w:rPr>
          <w:color w:val="C45911" w:themeColor="accent2" w:themeShade="BF"/>
        </w:rPr>
        <w:t xml:space="preserve"> </w:t>
      </w:r>
    </w:p>
    <w:p w14:paraId="29C1984A" w14:textId="3B197F98" w:rsidR="00FC5980" w:rsidRDefault="00FC5980" w:rsidP="00FC5980">
      <w:pPr>
        <w:rPr>
          <w:b/>
          <w:bCs/>
        </w:rPr>
      </w:pPr>
    </w:p>
    <w:p w14:paraId="5C40B6F2" w14:textId="77777777" w:rsidR="00DD6ECB" w:rsidRDefault="00DD6ECB" w:rsidP="00FC5980">
      <w:pPr>
        <w:rPr>
          <w:b/>
          <w:bCs/>
        </w:rPr>
      </w:pPr>
    </w:p>
    <w:p w14:paraId="02FC0A88" w14:textId="77777777" w:rsidR="00FC5980" w:rsidRPr="00A9721B" w:rsidRDefault="00FC5980" w:rsidP="00FC5980">
      <w:pPr>
        <w:rPr>
          <w:b/>
          <w:bCs/>
        </w:rPr>
      </w:pPr>
      <w:r w:rsidRPr="00A9721B">
        <w:rPr>
          <w:b/>
          <w:bCs/>
        </w:rPr>
        <w:lastRenderedPageBreak/>
        <w:t>Artikel 1</w:t>
      </w:r>
      <w:r>
        <w:rPr>
          <w:b/>
          <w:bCs/>
        </w:rPr>
        <w:t>2</w:t>
      </w:r>
    </w:p>
    <w:p w14:paraId="1A2CA700" w14:textId="77777777" w:rsidR="00FC5980" w:rsidRDefault="00FC5980" w:rsidP="00FC5980">
      <w:r>
        <w:t>Deze overeenkomst werd in 2 exemplaren opgemaakt en door beide partijen ondertekend. Elke partij verklaart hierbij een door beide partijen ondertekend exemplaar te hebben ontvangen.</w:t>
      </w:r>
    </w:p>
    <w:p w14:paraId="3E0F6931" w14:textId="77777777" w:rsidR="00FC5980" w:rsidRDefault="00FC5980" w:rsidP="00FC5980">
      <w:r>
        <w:t>Aldus opgemaakt te ……………….….,  op ………………</w:t>
      </w:r>
    </w:p>
    <w:p w14:paraId="70436480" w14:textId="77777777" w:rsidR="00FC5980" w:rsidRDefault="00FC5980" w:rsidP="00FC5980">
      <w:r>
        <w:t xml:space="preserve">Voor het WZC </w:t>
      </w:r>
      <w:r>
        <w:tab/>
      </w:r>
      <w:r>
        <w:tab/>
      </w:r>
      <w:r>
        <w:tab/>
      </w:r>
      <w:r>
        <w:tab/>
      </w:r>
      <w:r>
        <w:tab/>
        <w:t>de coördinerend en raadgevend arts</w:t>
      </w:r>
    </w:p>
    <w:p w14:paraId="64736B53" w14:textId="77777777" w:rsidR="00FC5980" w:rsidRPr="00A9721B" w:rsidRDefault="00FC5980" w:rsidP="00FC5980">
      <w:pPr>
        <w:rPr>
          <w:i/>
          <w:iCs/>
        </w:rPr>
      </w:pPr>
      <w:r w:rsidRPr="00A9721B">
        <w:rPr>
          <w:i/>
          <w:iCs/>
        </w:rPr>
        <w:t>(naam en handtekening)</w:t>
      </w:r>
      <w:r w:rsidRPr="00A9721B">
        <w:rPr>
          <w:i/>
          <w:iCs/>
        </w:rPr>
        <w:tab/>
      </w:r>
      <w:r w:rsidRPr="00A9721B">
        <w:rPr>
          <w:i/>
          <w:iCs/>
        </w:rPr>
        <w:tab/>
      </w:r>
      <w:r w:rsidRPr="00A9721B">
        <w:rPr>
          <w:i/>
          <w:iCs/>
        </w:rPr>
        <w:tab/>
      </w:r>
      <w:r w:rsidRPr="00A9721B">
        <w:rPr>
          <w:i/>
          <w:iCs/>
        </w:rPr>
        <w:tab/>
      </w:r>
      <w:r w:rsidRPr="00A9721B">
        <w:rPr>
          <w:i/>
          <w:iCs/>
        </w:rPr>
        <w:tab/>
        <w:t xml:space="preserve">(naam en handtekening) </w:t>
      </w:r>
    </w:p>
    <w:p w14:paraId="161863D6" w14:textId="117F5238" w:rsidR="001D7E13" w:rsidRPr="00A9721B" w:rsidRDefault="001D7E13" w:rsidP="00087F63">
      <w:pPr>
        <w:rPr>
          <w:i/>
          <w:iCs/>
        </w:rPr>
      </w:pPr>
    </w:p>
    <w:sectPr w:rsidR="001D7E13" w:rsidRPr="00A9721B">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99CE" w14:textId="77777777" w:rsidR="00704B71" w:rsidRDefault="00704B71" w:rsidP="00F7521F">
      <w:pPr>
        <w:spacing w:after="0" w:line="240" w:lineRule="auto"/>
      </w:pPr>
      <w:r>
        <w:separator/>
      </w:r>
    </w:p>
  </w:endnote>
  <w:endnote w:type="continuationSeparator" w:id="0">
    <w:p w14:paraId="0E5734F0" w14:textId="77777777" w:rsidR="00704B71" w:rsidRDefault="00704B71" w:rsidP="00F7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383419"/>
      <w:docPartObj>
        <w:docPartGallery w:val="Page Numbers (Bottom of Page)"/>
        <w:docPartUnique/>
      </w:docPartObj>
    </w:sdtPr>
    <w:sdtEndPr/>
    <w:sdtContent>
      <w:p w14:paraId="1BCB109A" w14:textId="1F23ED21" w:rsidR="00F7521F" w:rsidRDefault="00F7521F">
        <w:pPr>
          <w:pStyle w:val="Voettekst"/>
          <w:jc w:val="right"/>
        </w:pPr>
        <w:r>
          <w:fldChar w:fldCharType="begin"/>
        </w:r>
        <w:r>
          <w:instrText>PAGE   \* MERGEFORMAT</w:instrText>
        </w:r>
        <w:r>
          <w:fldChar w:fldCharType="separate"/>
        </w:r>
        <w:r w:rsidR="00DD6ECB" w:rsidRPr="00DD6ECB">
          <w:rPr>
            <w:noProof/>
            <w:lang w:val="nl-NL"/>
          </w:rPr>
          <w:t>1</w:t>
        </w:r>
        <w:r>
          <w:fldChar w:fldCharType="end"/>
        </w:r>
      </w:p>
    </w:sdtContent>
  </w:sdt>
  <w:p w14:paraId="5848AFEC" w14:textId="77777777" w:rsidR="00F7521F" w:rsidRDefault="00F752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4C94" w14:textId="77777777" w:rsidR="00704B71" w:rsidRDefault="00704B71" w:rsidP="00F7521F">
      <w:pPr>
        <w:spacing w:after="0" w:line="240" w:lineRule="auto"/>
      </w:pPr>
      <w:r>
        <w:separator/>
      </w:r>
    </w:p>
  </w:footnote>
  <w:footnote w:type="continuationSeparator" w:id="0">
    <w:p w14:paraId="776BAADA" w14:textId="77777777" w:rsidR="00704B71" w:rsidRDefault="00704B71" w:rsidP="00F75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C66E" w14:textId="7528AB8D" w:rsidR="00F7521F" w:rsidRDefault="00F752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3436" w14:textId="344A3A0F" w:rsidR="00F7521F" w:rsidRDefault="00F752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6EEB" w14:textId="3370458B" w:rsidR="00F7521F" w:rsidRDefault="00F752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06419"/>
    <w:multiLevelType w:val="hybridMultilevel"/>
    <w:tmpl w:val="536CDA34"/>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 w15:restartNumberingAfterBreak="0">
    <w:nsid w:val="5E2F74AC"/>
    <w:multiLevelType w:val="hybridMultilevel"/>
    <w:tmpl w:val="8EE218C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D3"/>
    <w:rsid w:val="00033E9F"/>
    <w:rsid w:val="0004382D"/>
    <w:rsid w:val="00087F63"/>
    <w:rsid w:val="000C3C4D"/>
    <w:rsid w:val="000C5462"/>
    <w:rsid w:val="0011323F"/>
    <w:rsid w:val="00122119"/>
    <w:rsid w:val="001D7E13"/>
    <w:rsid w:val="00222FDB"/>
    <w:rsid w:val="00231A6C"/>
    <w:rsid w:val="002B59BE"/>
    <w:rsid w:val="002D1734"/>
    <w:rsid w:val="00315FDC"/>
    <w:rsid w:val="00316129"/>
    <w:rsid w:val="00316746"/>
    <w:rsid w:val="00333322"/>
    <w:rsid w:val="00357025"/>
    <w:rsid w:val="00375707"/>
    <w:rsid w:val="003778E7"/>
    <w:rsid w:val="003905B5"/>
    <w:rsid w:val="003E1F39"/>
    <w:rsid w:val="004A428E"/>
    <w:rsid w:val="004F4D6D"/>
    <w:rsid w:val="004F552F"/>
    <w:rsid w:val="00522C7F"/>
    <w:rsid w:val="005275AC"/>
    <w:rsid w:val="00557BB8"/>
    <w:rsid w:val="00567D42"/>
    <w:rsid w:val="00597C73"/>
    <w:rsid w:val="005E098E"/>
    <w:rsid w:val="00620C33"/>
    <w:rsid w:val="006540E2"/>
    <w:rsid w:val="0070264F"/>
    <w:rsid w:val="00704B71"/>
    <w:rsid w:val="007105C6"/>
    <w:rsid w:val="007624A7"/>
    <w:rsid w:val="00790800"/>
    <w:rsid w:val="007C4134"/>
    <w:rsid w:val="007D3E2E"/>
    <w:rsid w:val="0087212C"/>
    <w:rsid w:val="00883A79"/>
    <w:rsid w:val="00930341"/>
    <w:rsid w:val="0093309D"/>
    <w:rsid w:val="009778A6"/>
    <w:rsid w:val="00A135C1"/>
    <w:rsid w:val="00A6289E"/>
    <w:rsid w:val="00A668A5"/>
    <w:rsid w:val="00A9721B"/>
    <w:rsid w:val="00AD0169"/>
    <w:rsid w:val="00B374A2"/>
    <w:rsid w:val="00BA4A0E"/>
    <w:rsid w:val="00C06952"/>
    <w:rsid w:val="00C2476B"/>
    <w:rsid w:val="00CB4438"/>
    <w:rsid w:val="00CE780E"/>
    <w:rsid w:val="00D10527"/>
    <w:rsid w:val="00D4484E"/>
    <w:rsid w:val="00D62556"/>
    <w:rsid w:val="00DD6ECB"/>
    <w:rsid w:val="00E049D6"/>
    <w:rsid w:val="00E1610A"/>
    <w:rsid w:val="00E728C2"/>
    <w:rsid w:val="00E82DAD"/>
    <w:rsid w:val="00F2601A"/>
    <w:rsid w:val="00F56B5B"/>
    <w:rsid w:val="00F7521F"/>
    <w:rsid w:val="00F90EC0"/>
    <w:rsid w:val="00F912D3"/>
    <w:rsid w:val="00FC59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AAA73D"/>
  <w15:chartTrackingRefBased/>
  <w15:docId w15:val="{D60DA015-A1EB-428A-9CAB-C131014A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5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721B"/>
    <w:pPr>
      <w:ind w:left="720"/>
      <w:contextualSpacing/>
    </w:pPr>
  </w:style>
  <w:style w:type="paragraph" w:styleId="Koptekst">
    <w:name w:val="header"/>
    <w:basedOn w:val="Standaard"/>
    <w:link w:val="KoptekstChar"/>
    <w:uiPriority w:val="99"/>
    <w:unhideWhenUsed/>
    <w:rsid w:val="00F752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521F"/>
  </w:style>
  <w:style w:type="paragraph" w:styleId="Voettekst">
    <w:name w:val="footer"/>
    <w:basedOn w:val="Standaard"/>
    <w:link w:val="VoettekstChar"/>
    <w:uiPriority w:val="99"/>
    <w:unhideWhenUsed/>
    <w:rsid w:val="00F752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521F"/>
  </w:style>
  <w:style w:type="paragraph" w:styleId="Ballontekst">
    <w:name w:val="Balloon Text"/>
    <w:basedOn w:val="Standaard"/>
    <w:link w:val="BallontekstChar"/>
    <w:uiPriority w:val="99"/>
    <w:semiHidden/>
    <w:unhideWhenUsed/>
    <w:rsid w:val="009778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78A6"/>
    <w:rPr>
      <w:rFonts w:ascii="Segoe UI" w:hAnsi="Segoe UI" w:cs="Segoe UI"/>
      <w:sz w:val="18"/>
      <w:szCs w:val="18"/>
    </w:rPr>
  </w:style>
  <w:style w:type="paragraph" w:styleId="Geenafstand">
    <w:name w:val="No Spacing"/>
    <w:uiPriority w:val="1"/>
    <w:qFormat/>
    <w:rsid w:val="00FC5980"/>
    <w:pPr>
      <w:spacing w:after="0" w:line="240" w:lineRule="auto"/>
    </w:pPr>
  </w:style>
  <w:style w:type="character" w:customStyle="1" w:styleId="Kop1Char">
    <w:name w:val="Kop 1 Char"/>
    <w:basedOn w:val="Standaardalinea-lettertype"/>
    <w:link w:val="Kop1"/>
    <w:uiPriority w:val="9"/>
    <w:rsid w:val="00FC5980"/>
    <w:rPr>
      <w:rFonts w:asciiTheme="majorHAnsi" w:eastAsiaTheme="majorEastAsia" w:hAnsiTheme="majorHAnsi" w:cstheme="majorBidi"/>
      <w:color w:val="2F5496" w:themeColor="accent1" w:themeShade="BF"/>
      <w:sz w:val="32"/>
      <w:szCs w:val="32"/>
    </w:rPr>
  </w:style>
  <w:style w:type="paragraph" w:styleId="Revisie">
    <w:name w:val="Revision"/>
    <w:hidden/>
    <w:uiPriority w:val="99"/>
    <w:semiHidden/>
    <w:rsid w:val="005E0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91AFFE31A6645821BF7E2033DB1C1" ma:contentTypeVersion="28" ma:contentTypeDescription="Een nieuw document maken." ma:contentTypeScope="" ma:versionID="ba8f9f05eb87fbbf2d9010ae93efb157">
  <xsd:schema xmlns:xsd="http://www.w3.org/2001/XMLSchema" xmlns:xs="http://www.w3.org/2001/XMLSchema" xmlns:p="http://schemas.microsoft.com/office/2006/metadata/properties" xmlns:ns2="d73e2a14-8c1a-4e70-a2cc-d21e171a059a" xmlns:ns3="08bf8475-c012-44e9-8fad-2df4dcf5248d" targetNamespace="http://schemas.microsoft.com/office/2006/metadata/properties" ma:root="true" ma:fieldsID="c73cc9e477cd32df4d6ca15f9b2238b3" ns2:_="" ns3:_="">
    <xsd:import namespace="d73e2a14-8c1a-4e70-a2cc-d21e171a059a"/>
    <xsd:import namespace="08bf8475-c012-44e9-8fad-2df4dcf5248d"/>
    <xsd:element name="properties">
      <xsd:complexType>
        <xsd:sequence>
          <xsd:element name="documentManagement">
            <xsd:complexType>
              <xsd:all>
                <xsd:element ref="ns2:g2110c307ce04446a6272f37abcdeb55" minOccurs="0"/>
                <xsd:element ref="ns2:TaxCatchAll" minOccurs="0"/>
                <xsd:element ref="ns2:h85cc86c9e1c4dd481b1ce27f296b1c8" minOccurs="0"/>
                <xsd:element ref="ns2:Publicatiejaar" minOccurs="0"/>
                <xsd:element ref="ns2:Auteu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n0dcba39c8754bb9b2c11feb924335d2"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e2a14-8c1a-4e70-a2cc-d21e171a059a" elementFormDefault="qualified">
    <xsd:import namespace="http://schemas.microsoft.com/office/2006/documentManagement/types"/>
    <xsd:import namespace="http://schemas.microsoft.com/office/infopath/2007/PartnerControls"/>
    <xsd:element name="g2110c307ce04446a6272f37abcdeb55" ma:index="9" nillable="true" ma:taxonomy="true" ma:internalName="g2110c307ce04446a6272f37abcdeb55" ma:taxonomyFieldName="DocumentTypeDocCentrum" ma:displayName="Type document" ma:readOnly="false" ma:default="" ma:fieldId="{02110c30-7ce0-4446-a627-2f37abcdeb55}" ma:sspId="2d04a3e3-50e6-4ce5-b5dd-195305b4cf55" ma:termSetId="bd969661-a277-4d76-a1e4-38bf49e3af0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214d04f-5219-44f9-a188-c661c6c8f2fa}" ma:internalName="TaxCatchAll" ma:showField="CatchAllData" ma:web="d73e2a14-8c1a-4e70-a2cc-d21e171a059a">
      <xsd:complexType>
        <xsd:complexContent>
          <xsd:extension base="dms:MultiChoiceLookup">
            <xsd:sequence>
              <xsd:element name="Value" type="dms:Lookup" maxOccurs="unbounded" minOccurs="0" nillable="true"/>
            </xsd:sequence>
          </xsd:extension>
        </xsd:complexContent>
      </xsd:complexType>
    </xsd:element>
    <xsd:element name="h85cc86c9e1c4dd481b1ce27f296b1c8" ma:index="12" nillable="true" ma:taxonomy="true" ma:internalName="h85cc86c9e1c4dd481b1ce27f296b1c8" ma:taxonomyFieldName="Thema" ma:displayName="Thema" ma:readOnly="false" ma:default="" ma:fieldId="{185cc86c-9e1c-4dd4-81b1-ce27f296b1c8}" ma:taxonomyMulti="true" ma:sspId="2d04a3e3-50e6-4ce5-b5dd-195305b4cf55" ma:termSetId="fba67b9a-8078-46e7-9815-b70e5c3c0f62" ma:anchorId="00000000-0000-0000-0000-000000000000" ma:open="false" ma:isKeyword="false">
      <xsd:complexType>
        <xsd:sequence>
          <xsd:element ref="pc:Terms" minOccurs="0" maxOccurs="1"/>
        </xsd:sequence>
      </xsd:complexType>
    </xsd:element>
    <xsd:element name="Publicatiejaar" ma:index="13" nillable="true" ma:displayName="Publicatiejaar" ma:decimals="0" ma:internalName="Publicatiejaar" ma:percentage="FALSE">
      <xsd:simpleType>
        <xsd:restriction base="dms:Number">
          <xsd:maxInclusive value="2100"/>
          <xsd:minInclusive value="1972"/>
        </xsd:restriction>
      </xsd:simpleType>
    </xsd:element>
    <xsd:element name="Auteurs" ma:index="14" nillable="true" ma:displayName="Auteurs" ma:list="UserInfo" ma:SharePointGroup="0" ma:internalName="Auteu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bf8475-c012-44e9-8fad-2df4dcf5248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n0dcba39c8754bb9b2c11feb924335d2" ma:index="24" nillable="true" ma:taxonomy="true" ma:internalName="n0dcba39c8754bb9b2c11feb924335d2" ma:taxonomyFieldName="Auteur" ma:displayName="Auteur" ma:readOnly="false" ma:default="" ma:fieldId="{70dcba39-c875-4bb9-b2c1-1feb924335d2}" ma:taxonomyMulti="true" ma:sspId="2d04a3e3-50e6-4ce5-b5dd-195305b4cf55" ma:termSetId="32644556-636c-4388-809e-523a73156c97" ma:anchorId="00000000-0000-0000-0000-000000000000" ma:open="true" ma:isKeyword="false">
      <xsd:complexType>
        <xsd:sequence>
          <xsd:element ref="pc:Terms" minOccurs="0" maxOccurs="1"/>
        </xsd:sequence>
      </xsd:complex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jaar xmlns="d73e2a14-8c1a-4e70-a2cc-d21e171a059a" xsi:nil="true"/>
    <h85cc86c9e1c4dd481b1ce27f296b1c8 xmlns="d73e2a14-8c1a-4e70-a2cc-d21e171a059a">
      <Terms xmlns="http://schemas.microsoft.com/office/infopath/2007/PartnerControls"/>
    </h85cc86c9e1c4dd481b1ce27f296b1c8>
    <TaxCatchAll xmlns="d73e2a14-8c1a-4e70-a2cc-d21e171a059a"/>
    <Auteurs xmlns="d73e2a14-8c1a-4e70-a2cc-d21e171a059a">
      <UserInfo>
        <DisplayName/>
        <AccountId xsi:nil="true"/>
        <AccountType/>
      </UserInfo>
    </Auteurs>
    <n0dcba39c8754bb9b2c11feb924335d2 xmlns="08bf8475-c012-44e9-8fad-2df4dcf5248d">
      <Terms xmlns="http://schemas.microsoft.com/office/infopath/2007/PartnerControls"/>
    </n0dcba39c8754bb9b2c11feb924335d2>
    <g2110c307ce04446a6272f37abcdeb55 xmlns="d73e2a14-8c1a-4e70-a2cc-d21e171a059a">
      <Terms xmlns="http://schemas.microsoft.com/office/infopath/2007/PartnerControls"/>
    </g2110c307ce04446a6272f37abcdeb55>
  </documentManagement>
</p:properties>
</file>

<file path=customXml/itemProps1.xml><?xml version="1.0" encoding="utf-8"?>
<ds:datastoreItem xmlns:ds="http://schemas.openxmlformats.org/officeDocument/2006/customXml" ds:itemID="{C536FBD3-9ED6-45F1-B4A8-289B74C8B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e2a14-8c1a-4e70-a2cc-d21e171a059a"/>
    <ds:schemaRef ds:uri="08bf8475-c012-44e9-8fad-2df4dcf52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360EF-D363-4BA4-9658-A3792B5E84CD}">
  <ds:schemaRefs>
    <ds:schemaRef ds:uri="http://schemas.microsoft.com/sharepoint/v3/contenttype/forms"/>
  </ds:schemaRefs>
</ds:datastoreItem>
</file>

<file path=customXml/itemProps3.xml><?xml version="1.0" encoding="utf-8"?>
<ds:datastoreItem xmlns:ds="http://schemas.openxmlformats.org/officeDocument/2006/customXml" ds:itemID="{B22E2890-2438-41C2-AA6A-2E82FDBE53DE}">
  <ds:schemaRefs>
    <ds:schemaRef ds:uri="d73e2a14-8c1a-4e70-a2cc-d21e171a059a"/>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8bf8475-c012-44e9-8fad-2df4dcf5248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8900</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Sablon</dc:creator>
  <cp:keywords/>
  <dc:description/>
  <cp:lastModifiedBy>Emy Kool</cp:lastModifiedBy>
  <cp:revision>2</cp:revision>
  <cp:lastPrinted>2021-11-03T13:00:00Z</cp:lastPrinted>
  <dcterms:created xsi:type="dcterms:W3CDTF">2022-03-25T09:21:00Z</dcterms:created>
  <dcterms:modified xsi:type="dcterms:W3CDTF">2022-03-25T09:21:00Z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0x0101000FC91AFFE31A6645821BF7E2033DB1C1</vt:lpwstr>
  </property>
</Properties>
</file>